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9DDC" w14:textId="77777777" w:rsidR="00AE6F18" w:rsidRPr="006F04E8" w:rsidRDefault="00F35CB7">
      <w:pPr>
        <w:rPr>
          <w:rFonts w:asciiTheme="minorHAnsi" w:hAnsiTheme="minorHAnsi"/>
        </w:rPr>
      </w:pPr>
      <w:r w:rsidRPr="006F04E8">
        <w:rPr>
          <w:rFonts w:asciiTheme="minorHAnsi" w:hAnsiTheme="minorHAnsi"/>
          <w:b/>
          <w:bCs/>
          <w:caps/>
          <w:color w:val="2E5FA3"/>
          <w:sz w:val="18"/>
          <w:szCs w:val="18"/>
        </w:rPr>
        <w:t>FOR IMMEDIATE RELEASE</w:t>
      </w:r>
    </w:p>
    <w:p w14:paraId="4E6EBB4A" w14:textId="77777777" w:rsidR="00AE6F18" w:rsidRPr="006F04E8" w:rsidRDefault="00AE6F18">
      <w:pPr>
        <w:spacing w:before="60"/>
        <w:rPr>
          <w:rFonts w:asciiTheme="minorHAnsi" w:hAnsiTheme="minorHAnsi"/>
        </w:rPr>
      </w:pPr>
    </w:p>
    <w:p w14:paraId="0913F2D5" w14:textId="34DF6BF6" w:rsidR="00AE6F18" w:rsidRPr="006F04E8" w:rsidRDefault="00F35CB7">
      <w:pPr>
        <w:rPr>
          <w:rFonts w:asciiTheme="minorHAnsi" w:hAnsiTheme="minorHAnsi"/>
          <w:lang w:val="es-ES"/>
        </w:rPr>
      </w:pPr>
      <w:r w:rsidRPr="006F04E8">
        <w:rPr>
          <w:rFonts w:asciiTheme="minorHAnsi" w:hAnsiTheme="minorHAnsi"/>
          <w:b/>
          <w:bCs/>
          <w:color w:val="000000"/>
          <w:sz w:val="18"/>
          <w:szCs w:val="18"/>
          <w:lang w:val="es-ES"/>
        </w:rPr>
        <w:t>Media Contact:</w:t>
      </w:r>
      <w:r w:rsidRPr="006F04E8">
        <w:rPr>
          <w:rFonts w:asciiTheme="minorHAnsi" w:hAnsiTheme="minorHAnsi"/>
          <w:color w:val="666666"/>
          <w:sz w:val="18"/>
          <w:szCs w:val="18"/>
          <w:lang w:val="es-ES"/>
        </w:rPr>
        <w:t xml:space="preserve">  </w:t>
      </w:r>
      <w:r w:rsidR="00672B58" w:rsidRPr="006F04E8">
        <w:rPr>
          <w:rFonts w:asciiTheme="minorHAnsi" w:hAnsiTheme="minorHAnsi"/>
          <w:color w:val="000000"/>
          <w:sz w:val="18"/>
          <w:szCs w:val="18"/>
          <w:lang w:val="es-ES"/>
        </w:rPr>
        <w:t>Kristina Middleton</w:t>
      </w:r>
    </w:p>
    <w:p w14:paraId="5D578CE6" w14:textId="588A9ED0" w:rsidR="00AE6F18" w:rsidRPr="006F04E8" w:rsidRDefault="00F35CB7">
      <w:pPr>
        <w:rPr>
          <w:rFonts w:asciiTheme="minorHAnsi" w:hAnsiTheme="minorHAnsi"/>
        </w:rPr>
      </w:pPr>
      <w:r w:rsidRPr="006F04E8">
        <w:rPr>
          <w:rFonts w:asciiTheme="minorHAnsi" w:hAnsiTheme="minorHAnsi"/>
          <w:b/>
          <w:bCs/>
          <w:color w:val="000000"/>
          <w:sz w:val="18"/>
          <w:szCs w:val="18"/>
        </w:rPr>
        <w:t>Phone:</w:t>
      </w:r>
      <w:r w:rsidRPr="006F04E8">
        <w:rPr>
          <w:rFonts w:asciiTheme="minorHAnsi" w:hAnsiTheme="minorHAnsi"/>
          <w:color w:val="666666"/>
          <w:sz w:val="18"/>
          <w:szCs w:val="18"/>
        </w:rPr>
        <w:t xml:space="preserve">  </w:t>
      </w:r>
      <w:r w:rsidR="00672B58" w:rsidRPr="006F04E8">
        <w:rPr>
          <w:rFonts w:asciiTheme="minorHAnsi" w:hAnsiTheme="minorHAnsi"/>
          <w:color w:val="000000"/>
          <w:sz w:val="18"/>
          <w:szCs w:val="18"/>
        </w:rPr>
        <w:t>484.680.6586</w:t>
      </w:r>
    </w:p>
    <w:p w14:paraId="64D805EB" w14:textId="0C87367E" w:rsidR="00AE6F18" w:rsidRPr="006F04E8" w:rsidRDefault="006F04E8">
      <w:pPr>
        <w:rPr>
          <w:rFonts w:asciiTheme="minorHAnsi" w:hAnsiTheme="minorHAnsi"/>
          <w:lang w:val="fr-FR"/>
        </w:rPr>
      </w:pPr>
      <w:r w:rsidRPr="006F04E8">
        <w:rPr>
          <w:rFonts w:asciiTheme="minorHAnsi" w:hAnsiTheme="minorHAnsi"/>
          <w:b/>
          <w:bCs/>
          <w:color w:val="000000"/>
          <w:sz w:val="18"/>
          <w:szCs w:val="18"/>
          <w:lang w:val="fr-FR"/>
        </w:rPr>
        <w:t>Email :</w:t>
      </w:r>
      <w:r w:rsidR="00F35CB7" w:rsidRPr="006F04E8">
        <w:rPr>
          <w:rFonts w:asciiTheme="minorHAnsi" w:hAnsiTheme="minorHAnsi"/>
          <w:color w:val="666666"/>
          <w:sz w:val="18"/>
          <w:szCs w:val="18"/>
          <w:lang w:val="fr-FR"/>
        </w:rPr>
        <w:t xml:space="preserve">  </w:t>
      </w:r>
      <w:r w:rsidR="00672B58" w:rsidRPr="006F04E8">
        <w:rPr>
          <w:rFonts w:asciiTheme="minorHAnsi" w:hAnsiTheme="minorHAnsi"/>
          <w:color w:val="000000"/>
          <w:sz w:val="18"/>
          <w:szCs w:val="18"/>
          <w:lang w:val="fr-FR"/>
        </w:rPr>
        <w:t>KristinaM@integrity-net.net</w:t>
      </w:r>
    </w:p>
    <w:p w14:paraId="4E67EAD4" w14:textId="77777777" w:rsidR="00AE6F18" w:rsidRPr="006F04E8" w:rsidRDefault="00AE6F18">
      <w:pPr>
        <w:spacing w:before="200"/>
        <w:rPr>
          <w:rFonts w:asciiTheme="minorHAnsi" w:hAnsiTheme="minorHAnsi"/>
          <w:lang w:val="fr-FR"/>
        </w:rPr>
      </w:pPr>
    </w:p>
    <w:p w14:paraId="03A8AB6C" w14:textId="77777777" w:rsidR="00AE6F18" w:rsidRPr="006F04E8" w:rsidRDefault="00F35CB7">
      <w:pPr>
        <w:spacing w:after="120"/>
        <w:rPr>
          <w:rFonts w:asciiTheme="minorHAnsi" w:hAnsiTheme="minorHAnsi"/>
        </w:rPr>
      </w:pPr>
      <w:r w:rsidRPr="006F04E8">
        <w:rPr>
          <w:rFonts w:asciiTheme="minorHAnsi" w:hAnsiTheme="minorHAnsi"/>
          <w:b/>
          <w:bCs/>
          <w:color w:val="1F3864"/>
          <w:sz w:val="36"/>
          <w:szCs w:val="36"/>
        </w:rPr>
        <w:t>Integrity Group of Companies, LLC Acquires 3D Technology Services, Inc.</w:t>
      </w:r>
    </w:p>
    <w:p w14:paraId="78C510FE" w14:textId="77777777" w:rsidR="00AE6F18" w:rsidRPr="006F04E8" w:rsidRDefault="00F35CB7">
      <w:pPr>
        <w:spacing w:after="200"/>
        <w:rPr>
          <w:rFonts w:asciiTheme="minorHAnsi" w:hAnsiTheme="minorHAnsi"/>
        </w:rPr>
      </w:pPr>
      <w:r w:rsidRPr="006F04E8">
        <w:rPr>
          <w:rFonts w:asciiTheme="minorHAnsi" w:hAnsiTheme="minorHAnsi"/>
          <w:b/>
          <w:bCs/>
          <w:color w:val="2E5FA3"/>
          <w:sz w:val="24"/>
          <w:szCs w:val="24"/>
        </w:rPr>
        <w:t>Second Acquisition Expands Full-Service Technology Solutions Platform Across 30 States</w:t>
      </w:r>
    </w:p>
    <w:p w14:paraId="4FACA49E" w14:textId="77777777" w:rsidR="00AE6F18" w:rsidRPr="006F04E8" w:rsidRDefault="00AE6F18">
      <w:pPr>
        <w:spacing w:before="120"/>
        <w:rPr>
          <w:rFonts w:asciiTheme="minorHAnsi" w:hAnsiTheme="minorHAnsi"/>
        </w:rPr>
      </w:pPr>
    </w:p>
    <w:p w14:paraId="2D341D43" w14:textId="1B6F7080" w:rsidR="00AE6F18" w:rsidRPr="006F04E8" w:rsidRDefault="00F35CB7">
      <w:pPr>
        <w:spacing w:after="160"/>
        <w:rPr>
          <w:rFonts w:asciiTheme="minorHAnsi" w:hAnsiTheme="minorHAnsi"/>
        </w:rPr>
      </w:pPr>
      <w:r w:rsidRPr="006F04E8">
        <w:rPr>
          <w:rFonts w:asciiTheme="minorHAnsi" w:hAnsiTheme="minorHAnsi"/>
          <w:b/>
          <w:bCs/>
          <w:color w:val="000000"/>
        </w:rPr>
        <w:t xml:space="preserve">SACRAMENTO, </w:t>
      </w:r>
      <w:r w:rsidR="006F04E8" w:rsidRPr="006F04E8">
        <w:rPr>
          <w:rFonts w:asciiTheme="minorHAnsi" w:hAnsiTheme="minorHAnsi"/>
          <w:b/>
          <w:bCs/>
          <w:color w:val="000000"/>
        </w:rPr>
        <w:t>Calif.</w:t>
      </w:r>
      <w:r w:rsidRPr="006F04E8">
        <w:rPr>
          <w:rFonts w:asciiTheme="minorHAnsi" w:hAnsiTheme="minorHAnsi"/>
          <w:b/>
          <w:bCs/>
          <w:color w:val="000000"/>
        </w:rPr>
        <w:t xml:space="preserve"> May 20, 2026 — </w:t>
      </w:r>
      <w:r w:rsidRPr="006F04E8">
        <w:rPr>
          <w:rFonts w:asciiTheme="minorHAnsi" w:hAnsiTheme="minorHAnsi"/>
        </w:rPr>
        <w:t>Integrity Group of Companies, LLC ("Integrity") today announced the completion of its acquisition of 3D Technology Services, Inc. ("3D"), a privately held security integrator and technical services company headquartered in Rancho Cordova, California, with operations across 11 states. The transaction represents Integrity’s second acquisition as the company continues expanding its national technology services platform.</w:t>
      </w:r>
    </w:p>
    <w:p w14:paraId="43536157" w14:textId="77777777" w:rsidR="00AE6F18" w:rsidRPr="006F04E8" w:rsidRDefault="00F35CB7">
      <w:pPr>
        <w:spacing w:after="240"/>
        <w:rPr>
          <w:rFonts w:asciiTheme="minorHAnsi" w:hAnsiTheme="minorHAnsi"/>
        </w:rPr>
      </w:pPr>
      <w:r w:rsidRPr="006F04E8">
        <w:rPr>
          <w:rFonts w:asciiTheme="minorHAnsi" w:hAnsiTheme="minorHAnsi"/>
        </w:rPr>
        <w:t>Under the terms of the transaction, 3D Technology Services will continue operating under its existing brand, maintaining its leadership team, personnel, and day-to-day operations without disruption.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
        <w:gridCol w:w="9120"/>
      </w:tblGrid>
      <w:tr w:rsidR="00AE6F18" w:rsidRPr="006F04E8" w14:paraId="1832EF6B" w14:textId="77777777">
        <w:tc>
          <w:tcPr>
            <w:tcW w:w="240" w:type="dxa"/>
            <w:tcBorders>
              <w:left w:val="single" w:sz="24" w:space="0" w:color="2E5FA3"/>
            </w:tcBorders>
            <w:shd w:val="clear" w:color="auto" w:fill="FFFFFF"/>
          </w:tcPr>
          <w:p w14:paraId="70CA23D0" w14:textId="77777777" w:rsidR="00AE6F18" w:rsidRPr="006F04E8" w:rsidRDefault="00AE6F18">
            <w:pPr>
              <w:rPr>
                <w:rFonts w:asciiTheme="minorHAnsi" w:hAnsiTheme="minorHAnsi"/>
              </w:rPr>
            </w:pPr>
          </w:p>
        </w:tc>
        <w:tc>
          <w:tcPr>
            <w:tcW w:w="9120" w:type="dxa"/>
            <w:shd w:val="clear" w:color="auto" w:fill="D5E3F0"/>
            <w:tcMar>
              <w:top w:w="160" w:type="dxa"/>
              <w:left w:w="240" w:type="dxa"/>
              <w:bottom w:w="160" w:type="dxa"/>
              <w:right w:w="240" w:type="dxa"/>
            </w:tcMar>
          </w:tcPr>
          <w:p w14:paraId="15CCE145" w14:textId="77777777" w:rsidR="00AE6F18" w:rsidRPr="006F04E8" w:rsidRDefault="00F35CB7">
            <w:pPr>
              <w:spacing w:after="120"/>
              <w:rPr>
                <w:rFonts w:asciiTheme="minorHAnsi" w:hAnsiTheme="minorHAnsi"/>
              </w:rPr>
            </w:pPr>
            <w:r w:rsidRPr="006F04E8">
              <w:rPr>
                <w:rFonts w:asciiTheme="minorHAnsi" w:hAnsiTheme="minorHAnsi"/>
                <w:i/>
                <w:iCs/>
              </w:rPr>
              <w:t>“Integrity and 3D are not strangers. Long before this transaction, we were working alongside one another — supporting customers, collaborating in the field, and building trust through real-world execution. We understand how each organization operates, and we respect what each has built. This acquisition formalizes a relationship that was already working successfully.</w:t>
            </w:r>
          </w:p>
          <w:p w14:paraId="6FEACD89" w14:textId="77777777" w:rsidR="00AE6F18" w:rsidRPr="006F04E8" w:rsidRDefault="00F35CB7">
            <w:pPr>
              <w:spacing w:after="120"/>
              <w:rPr>
                <w:rFonts w:asciiTheme="minorHAnsi" w:hAnsiTheme="minorHAnsi"/>
              </w:rPr>
            </w:pPr>
            <w:r w:rsidRPr="006F04E8">
              <w:rPr>
                <w:rFonts w:asciiTheme="minorHAnsi" w:hAnsiTheme="minorHAnsi"/>
                <w:i/>
                <w:iCs/>
              </w:rPr>
              <w:t>“For 3D’s employees, customers, and partners, the faces remain the same, the commitments remain the same, and the quality of work remains the same. What this creates is a stronger, better-resourced platform that enables both organizations to continue doing what they do best.”</w:t>
            </w:r>
          </w:p>
          <w:p w14:paraId="1DDBE6D3" w14:textId="77777777" w:rsidR="00AE6F18" w:rsidRPr="006F04E8" w:rsidRDefault="00F35CB7">
            <w:pPr>
              <w:rPr>
                <w:rFonts w:asciiTheme="minorHAnsi" w:hAnsiTheme="minorHAnsi"/>
              </w:rPr>
            </w:pPr>
            <w:r w:rsidRPr="006F04E8">
              <w:rPr>
                <w:rFonts w:asciiTheme="minorHAnsi" w:hAnsiTheme="minorHAnsi"/>
                <w:b/>
                <w:bCs/>
                <w:color w:val="2E5FA3"/>
                <w:sz w:val="18"/>
                <w:szCs w:val="18"/>
              </w:rPr>
              <w:t>— Greg Forrest, CEO, Integrity Group of Companies</w:t>
            </w:r>
          </w:p>
        </w:tc>
      </w:tr>
    </w:tbl>
    <w:p w14:paraId="75178946" w14:textId="77777777" w:rsidR="00AE6F18" w:rsidRPr="006F04E8" w:rsidRDefault="00AE6F18">
      <w:pPr>
        <w:spacing w:before="240"/>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
        <w:gridCol w:w="9120"/>
      </w:tblGrid>
      <w:tr w:rsidR="00AE6F18" w:rsidRPr="006F04E8" w14:paraId="33E02B2E" w14:textId="77777777">
        <w:tc>
          <w:tcPr>
            <w:tcW w:w="240" w:type="dxa"/>
            <w:tcBorders>
              <w:left w:val="single" w:sz="24" w:space="0" w:color="1F3864"/>
            </w:tcBorders>
            <w:shd w:val="clear" w:color="auto" w:fill="FFFFFF"/>
          </w:tcPr>
          <w:p w14:paraId="22FA457B" w14:textId="77777777" w:rsidR="00AE6F18" w:rsidRPr="006F04E8" w:rsidRDefault="00AE6F18">
            <w:pPr>
              <w:rPr>
                <w:rFonts w:asciiTheme="minorHAnsi" w:hAnsiTheme="minorHAnsi"/>
              </w:rPr>
            </w:pPr>
          </w:p>
        </w:tc>
        <w:tc>
          <w:tcPr>
            <w:tcW w:w="9120" w:type="dxa"/>
            <w:shd w:val="clear" w:color="auto" w:fill="EEF3FA"/>
            <w:tcMar>
              <w:top w:w="160" w:type="dxa"/>
              <w:left w:w="240" w:type="dxa"/>
              <w:bottom w:w="160" w:type="dxa"/>
              <w:right w:w="240" w:type="dxa"/>
            </w:tcMar>
          </w:tcPr>
          <w:p w14:paraId="76484DAE" w14:textId="77777777" w:rsidR="00AE6F18" w:rsidRPr="006F04E8" w:rsidRDefault="00F35CB7">
            <w:pPr>
              <w:spacing w:after="120"/>
              <w:rPr>
                <w:rFonts w:asciiTheme="minorHAnsi" w:hAnsiTheme="minorHAnsi"/>
              </w:rPr>
            </w:pPr>
            <w:r w:rsidRPr="006F04E8">
              <w:rPr>
                <w:rFonts w:asciiTheme="minorHAnsi" w:hAnsiTheme="minorHAnsi"/>
                <w:i/>
                <w:iCs/>
              </w:rPr>
              <w:t>“After more than 25 years building 3D, this decision was made carefully — but it came naturally. Integrity is not new to us. We have worked together for years, supported one another’s engagements, and trusted each other with customers and reputation long before today.</w:t>
            </w:r>
          </w:p>
          <w:p w14:paraId="4ED90FC9" w14:textId="77777777" w:rsidR="00AE6F18" w:rsidRPr="006F04E8" w:rsidRDefault="00F35CB7">
            <w:pPr>
              <w:spacing w:after="120"/>
              <w:rPr>
                <w:rFonts w:asciiTheme="minorHAnsi" w:hAnsiTheme="minorHAnsi"/>
              </w:rPr>
            </w:pPr>
            <w:r w:rsidRPr="006F04E8">
              <w:rPr>
                <w:rFonts w:asciiTheme="minorHAnsi" w:hAnsiTheme="minorHAnsi"/>
                <w:i/>
                <w:iCs/>
              </w:rPr>
              <w:t>“That history is a significant part of why this partnership made sense. We were not acquired by strangers — we joined forces with a team we already know and trust. For the entire 3D team, it remains business as usual: same customers, same standards, and the same commitment to execution. What we gain is a proven partner with the resources and reach to help us grow together.”</w:t>
            </w:r>
          </w:p>
          <w:p w14:paraId="783F6A5B" w14:textId="77777777" w:rsidR="00AE6F18" w:rsidRPr="006F04E8" w:rsidRDefault="00F35CB7">
            <w:pPr>
              <w:rPr>
                <w:rFonts w:asciiTheme="minorHAnsi" w:hAnsiTheme="minorHAnsi"/>
              </w:rPr>
            </w:pPr>
            <w:r w:rsidRPr="006F04E8">
              <w:rPr>
                <w:rFonts w:asciiTheme="minorHAnsi" w:hAnsiTheme="minorHAnsi"/>
                <w:b/>
                <w:bCs/>
                <w:color w:val="1F3864"/>
                <w:sz w:val="18"/>
                <w:szCs w:val="18"/>
              </w:rPr>
              <w:t>— Frank Pedersen, President &amp; CEO, 3D Technology Services</w:t>
            </w:r>
          </w:p>
        </w:tc>
      </w:tr>
    </w:tbl>
    <w:p w14:paraId="39E562F2" w14:textId="77777777" w:rsidR="00AE6F18" w:rsidRPr="006F04E8" w:rsidRDefault="00AE6F18">
      <w:pPr>
        <w:spacing w:before="240"/>
        <w:rPr>
          <w:rFonts w:asciiTheme="minorHAnsi" w:hAnsiTheme="minorHAnsi"/>
        </w:rPr>
      </w:pPr>
    </w:p>
    <w:p w14:paraId="3011B296" w14:textId="46688541" w:rsidR="00AE6F18" w:rsidRPr="006F04E8" w:rsidRDefault="00F35CB7">
      <w:pPr>
        <w:spacing w:after="160"/>
        <w:rPr>
          <w:rFonts w:asciiTheme="minorHAnsi" w:hAnsiTheme="minorHAnsi"/>
        </w:rPr>
      </w:pPr>
      <w:r w:rsidRPr="006F04E8">
        <w:rPr>
          <w:rFonts w:asciiTheme="minorHAnsi" w:hAnsiTheme="minorHAnsi"/>
        </w:rPr>
        <w:t>The combination brings together Integrity’s low-voltage infrastructure capabilities — including structured cabling, electronic security systems, wired and wireless networking, and audiovisual solutions — with 3D’s expertise in security integration, specialty electrical services, fiber optics, and wireless infrastructure.</w:t>
      </w:r>
    </w:p>
    <w:p w14:paraId="31FCE1B6" w14:textId="451A8651" w:rsidR="00AE6F18" w:rsidRPr="006F04E8" w:rsidRDefault="00F35CB7">
      <w:pPr>
        <w:spacing w:after="160"/>
        <w:rPr>
          <w:rFonts w:asciiTheme="minorHAnsi" w:hAnsiTheme="minorHAnsi"/>
        </w:rPr>
      </w:pPr>
      <w:r w:rsidRPr="006F04E8">
        <w:rPr>
          <w:rFonts w:asciiTheme="minorHAnsi" w:hAnsiTheme="minorHAnsi"/>
        </w:rPr>
        <w:t xml:space="preserve">The combined organization serves government, commercial, banking, healthcare, industrial, energy, infrastructure, and institutional markets and is targeting over $40 million in combined </w:t>
      </w:r>
      <w:r w:rsidR="00975C74">
        <w:rPr>
          <w:rFonts w:asciiTheme="minorHAnsi" w:hAnsiTheme="minorHAnsi"/>
        </w:rPr>
        <w:t>annua</w:t>
      </w:r>
      <w:r w:rsidRPr="006F04E8">
        <w:rPr>
          <w:rFonts w:asciiTheme="minorHAnsi" w:hAnsiTheme="minorHAnsi"/>
        </w:rPr>
        <w:t xml:space="preserve"> revenue.</w:t>
      </w:r>
    </w:p>
    <w:p w14:paraId="4D6BC5F4" w14:textId="77777777" w:rsidR="00AE6F18" w:rsidRPr="006F04E8" w:rsidRDefault="00F35CB7">
      <w:pPr>
        <w:spacing w:after="240"/>
        <w:rPr>
          <w:rFonts w:asciiTheme="minorHAnsi" w:hAnsiTheme="minorHAnsi"/>
        </w:rPr>
      </w:pPr>
      <w:r w:rsidRPr="006F04E8">
        <w:rPr>
          <w:rFonts w:asciiTheme="minorHAnsi" w:hAnsiTheme="minorHAnsi"/>
        </w:rPr>
        <w:lastRenderedPageBreak/>
        <w:t>The transaction establishes a scalable platform for continued organic growth, expanded service capabilities, and future acquisitions while preserving the operational agility, customer relationships, and market reputation that both organizations have built over time.</w:t>
      </w:r>
    </w:p>
    <w:p w14:paraId="4352C623" w14:textId="77777777" w:rsidR="00AE6F18" w:rsidRPr="006F04E8" w:rsidRDefault="00F35CB7">
      <w:pPr>
        <w:spacing w:after="80"/>
        <w:rPr>
          <w:rFonts w:asciiTheme="minorHAnsi" w:hAnsiTheme="minorHAnsi"/>
        </w:rPr>
      </w:pPr>
      <w:r w:rsidRPr="006F04E8">
        <w:rPr>
          <w:rFonts w:asciiTheme="minorHAnsi" w:hAnsiTheme="minorHAnsi"/>
          <w:b/>
          <w:bCs/>
          <w:color w:val="1F3864"/>
          <w:sz w:val="22"/>
          <w:szCs w:val="22"/>
        </w:rPr>
        <w:t>About Integrity Group of Companies</w:t>
      </w:r>
    </w:p>
    <w:p w14:paraId="5987FF6F" w14:textId="77777777" w:rsidR="00AE6F18" w:rsidRPr="006F04E8" w:rsidRDefault="00F35CB7">
      <w:pPr>
        <w:spacing w:after="200"/>
        <w:rPr>
          <w:rFonts w:asciiTheme="minorHAnsi" w:hAnsiTheme="minorHAnsi"/>
        </w:rPr>
      </w:pPr>
      <w:r w:rsidRPr="006F04E8">
        <w:rPr>
          <w:rFonts w:asciiTheme="minorHAnsi" w:hAnsiTheme="minorHAnsi"/>
        </w:rPr>
        <w:t>Integrity Group of Companies is focused on acquiring and operating low-voltage technology services businesses. Its companies specialize in the design, installation, and maintenance of structured cabling, electronic security, networking, and audiovisual solutions for commercial and government clients throughout the United States and international markets.</w:t>
      </w:r>
    </w:p>
    <w:p w14:paraId="515F338B" w14:textId="77777777" w:rsidR="00AE6F18" w:rsidRPr="006F04E8" w:rsidRDefault="00F35CB7">
      <w:pPr>
        <w:spacing w:after="80"/>
        <w:rPr>
          <w:rFonts w:asciiTheme="minorHAnsi" w:hAnsiTheme="minorHAnsi"/>
        </w:rPr>
      </w:pPr>
      <w:r w:rsidRPr="006F04E8">
        <w:rPr>
          <w:rFonts w:asciiTheme="minorHAnsi" w:hAnsiTheme="minorHAnsi"/>
          <w:b/>
          <w:bCs/>
          <w:color w:val="1F3864"/>
          <w:sz w:val="22"/>
          <w:szCs w:val="22"/>
        </w:rPr>
        <w:t>About 3D Technology Services</w:t>
      </w:r>
    </w:p>
    <w:p w14:paraId="4C493CC1" w14:textId="77777777" w:rsidR="00AE6F18" w:rsidRPr="006F04E8" w:rsidRDefault="00F35CB7">
      <w:pPr>
        <w:spacing w:after="120"/>
        <w:rPr>
          <w:rFonts w:asciiTheme="minorHAnsi" w:hAnsiTheme="minorHAnsi"/>
        </w:rPr>
      </w:pPr>
      <w:r w:rsidRPr="006F04E8">
        <w:rPr>
          <w:rFonts w:asciiTheme="minorHAnsi" w:hAnsiTheme="minorHAnsi"/>
        </w:rPr>
        <w:t>3D Technology Services, Inc. (formerly 3D Datacom), founded in 1998 and headquartered in Rancho Cordova, California, is a privately held security integrator and technical services company with operations in 11 states. The company’s multidisciplinary team of licensed and certified professionals delivers specialized solutions across security systems, structured cabling, audiovisual systems, fire and life safety, specialty electrical services, fiber optics, and wireless infrastructure.</w:t>
      </w:r>
    </w:p>
    <w:p w14:paraId="30AC891D" w14:textId="77777777" w:rsidR="00AE6F18" w:rsidRPr="006F04E8" w:rsidRDefault="00F35CB7">
      <w:pPr>
        <w:spacing w:after="240"/>
        <w:rPr>
          <w:rFonts w:asciiTheme="minorHAnsi" w:hAnsiTheme="minorHAnsi"/>
        </w:rPr>
      </w:pPr>
      <w:r w:rsidRPr="006F04E8">
        <w:rPr>
          <w:rFonts w:asciiTheme="minorHAnsi" w:hAnsiTheme="minorHAnsi"/>
        </w:rPr>
        <w:t>3D serves customers across the banking, commercial, transportation, healthcare, education, energy, infrastructure, industrial, and institutional sectors.</w:t>
      </w:r>
    </w:p>
    <w:p w14:paraId="5281BD70" w14:textId="77777777" w:rsidR="00AE6F18" w:rsidRPr="006F04E8" w:rsidRDefault="00F35CB7">
      <w:pPr>
        <w:spacing w:after="60"/>
        <w:rPr>
          <w:rFonts w:asciiTheme="minorHAnsi" w:hAnsiTheme="minorHAnsi"/>
        </w:rPr>
      </w:pPr>
      <w:r w:rsidRPr="006F04E8">
        <w:rPr>
          <w:rFonts w:asciiTheme="minorHAnsi" w:hAnsiTheme="minorHAnsi"/>
          <w:b/>
          <w:bCs/>
          <w:color w:val="666666"/>
          <w:sz w:val="18"/>
          <w:szCs w:val="18"/>
        </w:rPr>
        <w:t>Forward-Looking Statements</w:t>
      </w:r>
    </w:p>
    <w:p w14:paraId="71036CEF" w14:textId="4C31FB38" w:rsidR="00AE6F18" w:rsidRPr="006F04E8" w:rsidRDefault="00F35CB7" w:rsidP="00672B58">
      <w:pPr>
        <w:spacing w:after="160"/>
        <w:rPr>
          <w:rFonts w:asciiTheme="minorHAnsi" w:hAnsiTheme="minorHAnsi"/>
        </w:rPr>
      </w:pPr>
      <w:r w:rsidRPr="006F04E8">
        <w:rPr>
          <w:rFonts w:asciiTheme="minorHAnsi" w:hAnsiTheme="minorHAnsi"/>
          <w:color w:val="666666"/>
          <w:sz w:val="17"/>
          <w:szCs w:val="17"/>
        </w:rPr>
        <w:t>This press release contains forward-looking statements, including statements regarding anticipated financial performance, growth opportunities, and strategic objectives. These statements are based on current expectations and assumptions and are subject to risks and uncertainties that could cause actual results to differ materially from those expressed or implied. Integrity Group of Companies undertakes no obligation to update any forward-looking statements except as required by applicable law.</w:t>
      </w:r>
    </w:p>
    <w:sectPr w:rsidR="00AE6F18" w:rsidRPr="006F04E8" w:rsidSect="00672B58">
      <w:footerReference w:type="default" r:id="rId7"/>
      <w:pgSz w:w="12240" w:h="15840"/>
      <w:pgMar w:top="1008" w:right="1296" w:bottom="864" w:left="1296"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EFF0" w14:textId="77777777" w:rsidR="00AA3B83" w:rsidRDefault="00AA3B83">
      <w:r>
        <w:separator/>
      </w:r>
    </w:p>
  </w:endnote>
  <w:endnote w:type="continuationSeparator" w:id="0">
    <w:p w14:paraId="0F64617F" w14:textId="77777777" w:rsidR="00AA3B83" w:rsidRDefault="00AA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05E5" w14:textId="77777777" w:rsidR="00AE6F18" w:rsidRDefault="00AE6F18">
    <w:pPr>
      <w:pBdr>
        <w:bottom w:val="single" w:sz="3" w:space="1" w:color="DDDDDD"/>
      </w:pBdr>
      <w:spacing w:before="100" w:after="100"/>
    </w:pPr>
  </w:p>
  <w:p w14:paraId="345C1488" w14:textId="77777777" w:rsidR="00AE6F18" w:rsidRDefault="00F35CB7">
    <w:pPr>
      <w:jc w:val="center"/>
    </w:pPr>
    <w:r>
      <w:rPr>
        <w:color w:val="666666"/>
        <w:sz w:val="16"/>
        <w:szCs w:val="16"/>
      </w:rPr>
      <w:t xml:space="preserve">Integrity Group of Companies, </w:t>
    </w:r>
    <w:proofErr w:type="gramStart"/>
    <w:r>
      <w:rPr>
        <w:color w:val="666666"/>
        <w:sz w:val="16"/>
        <w:szCs w:val="16"/>
      </w:rPr>
      <w:t>LLC  |</w:t>
    </w:r>
    <w:proofErr w:type="gramEnd"/>
    <w:r>
      <w:rPr>
        <w:color w:val="666666"/>
        <w:sz w:val="16"/>
        <w:szCs w:val="16"/>
      </w:rPr>
      <w:t xml:space="preserve">  Media Inquiries: [Contact </w:t>
    </w:r>
    <w:proofErr w:type="gramStart"/>
    <w:r>
      <w:rPr>
        <w:color w:val="666666"/>
        <w:sz w:val="16"/>
        <w:szCs w:val="16"/>
      </w:rPr>
      <w:t>Name]  |</w:t>
    </w:r>
    <w:proofErr w:type="gramEnd"/>
    <w:r>
      <w:rPr>
        <w:color w:val="666666"/>
        <w:sz w:val="16"/>
        <w:szCs w:val="16"/>
      </w:rPr>
      <w:t xml:space="preserve">  [</w:t>
    </w:r>
    <w:proofErr w:type="gramStart"/>
    <w:r>
      <w:rPr>
        <w:color w:val="666666"/>
        <w:sz w:val="16"/>
        <w:szCs w:val="16"/>
      </w:rPr>
      <w:t>email]  |</w:t>
    </w:r>
    <w:proofErr w:type="gramEnd"/>
    <w:r>
      <w:rPr>
        <w:color w:val="666666"/>
        <w:sz w:val="16"/>
        <w:szCs w:val="16"/>
      </w:rPr>
      <w:t xml:space="preserve">  [phone]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63CE" w14:textId="77777777" w:rsidR="00AA3B83" w:rsidRDefault="00AA3B83">
      <w:r>
        <w:separator/>
      </w:r>
    </w:p>
  </w:footnote>
  <w:footnote w:type="continuationSeparator" w:id="0">
    <w:p w14:paraId="169A7D08" w14:textId="77777777" w:rsidR="00AA3B83" w:rsidRDefault="00AA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77F28"/>
    <w:multiLevelType w:val="hybridMultilevel"/>
    <w:tmpl w:val="E15AE506"/>
    <w:lvl w:ilvl="0" w:tplc="CB3EA6D0">
      <w:start w:val="1"/>
      <w:numFmt w:val="bullet"/>
      <w:lvlText w:val="●"/>
      <w:lvlJc w:val="left"/>
      <w:pPr>
        <w:ind w:left="720" w:hanging="360"/>
      </w:pPr>
    </w:lvl>
    <w:lvl w:ilvl="1" w:tplc="01B4A520">
      <w:start w:val="1"/>
      <w:numFmt w:val="bullet"/>
      <w:lvlText w:val="○"/>
      <w:lvlJc w:val="left"/>
      <w:pPr>
        <w:ind w:left="1440" w:hanging="360"/>
      </w:pPr>
    </w:lvl>
    <w:lvl w:ilvl="2" w:tplc="6652E9E2">
      <w:start w:val="1"/>
      <w:numFmt w:val="bullet"/>
      <w:lvlText w:val="■"/>
      <w:lvlJc w:val="left"/>
      <w:pPr>
        <w:ind w:left="2160" w:hanging="360"/>
      </w:pPr>
    </w:lvl>
    <w:lvl w:ilvl="3" w:tplc="36BE9F20">
      <w:start w:val="1"/>
      <w:numFmt w:val="bullet"/>
      <w:lvlText w:val="●"/>
      <w:lvlJc w:val="left"/>
      <w:pPr>
        <w:ind w:left="2880" w:hanging="360"/>
      </w:pPr>
    </w:lvl>
    <w:lvl w:ilvl="4" w:tplc="FE3C01DC">
      <w:start w:val="1"/>
      <w:numFmt w:val="bullet"/>
      <w:lvlText w:val="○"/>
      <w:lvlJc w:val="left"/>
      <w:pPr>
        <w:ind w:left="3600" w:hanging="360"/>
      </w:pPr>
    </w:lvl>
    <w:lvl w:ilvl="5" w:tplc="BB2E6C42">
      <w:start w:val="1"/>
      <w:numFmt w:val="bullet"/>
      <w:lvlText w:val="■"/>
      <w:lvlJc w:val="left"/>
      <w:pPr>
        <w:ind w:left="4320" w:hanging="360"/>
      </w:pPr>
    </w:lvl>
    <w:lvl w:ilvl="6" w:tplc="AB78917E">
      <w:start w:val="1"/>
      <w:numFmt w:val="bullet"/>
      <w:lvlText w:val="●"/>
      <w:lvlJc w:val="left"/>
      <w:pPr>
        <w:ind w:left="5040" w:hanging="360"/>
      </w:pPr>
    </w:lvl>
    <w:lvl w:ilvl="7" w:tplc="30626BE4">
      <w:start w:val="1"/>
      <w:numFmt w:val="bullet"/>
      <w:lvlText w:val="●"/>
      <w:lvlJc w:val="left"/>
      <w:pPr>
        <w:ind w:left="5760" w:hanging="360"/>
      </w:pPr>
    </w:lvl>
    <w:lvl w:ilvl="8" w:tplc="7E9ED984">
      <w:start w:val="1"/>
      <w:numFmt w:val="bullet"/>
      <w:lvlText w:val="●"/>
      <w:lvlJc w:val="left"/>
      <w:pPr>
        <w:ind w:left="6480" w:hanging="360"/>
      </w:pPr>
    </w:lvl>
  </w:abstractNum>
  <w:num w:numId="1" w16cid:durableId="17057083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18"/>
    <w:rsid w:val="00293163"/>
    <w:rsid w:val="00672B58"/>
    <w:rsid w:val="006A613C"/>
    <w:rsid w:val="006F04E8"/>
    <w:rsid w:val="00975C74"/>
    <w:rsid w:val="009A75C1"/>
    <w:rsid w:val="00AA3B83"/>
    <w:rsid w:val="00AE6F18"/>
    <w:rsid w:val="00F35CB7"/>
    <w:rsid w:val="00FB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034C"/>
  <w15:docId w15:val="{DB8E1CDE-2127-47E1-8D96-D05BA86C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Allan Goodson</cp:lastModifiedBy>
  <cp:revision>2</cp:revision>
  <dcterms:created xsi:type="dcterms:W3CDTF">2026-05-20T22:37:00Z</dcterms:created>
  <dcterms:modified xsi:type="dcterms:W3CDTF">2026-05-20T22:37:00Z</dcterms:modified>
</cp:coreProperties>
</file>